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F16" w:rsidRPr="00760F16" w:rsidRDefault="00760F16">
      <w:pPr>
        <w:rPr>
          <w:lang w:val="it-CH"/>
        </w:rPr>
      </w:pPr>
      <w:r w:rsidRPr="00760F16">
        <w:rPr>
          <w:lang w:val="it-CH"/>
        </w:rPr>
        <w:t>Traducción:</w:t>
      </w:r>
    </w:p>
    <w:p w:rsidR="00760F16" w:rsidRPr="00760F16" w:rsidRDefault="00760F16">
      <w:pPr>
        <w:rPr>
          <w:lang w:val="it-CH"/>
        </w:rPr>
      </w:pPr>
    </w:p>
    <w:p w:rsidR="00760F16" w:rsidRPr="00760F16" w:rsidRDefault="00760F16" w:rsidP="00760F16">
      <w:pPr>
        <w:rPr>
          <w:b/>
          <w:bCs/>
          <w:lang w:val="it-CH"/>
        </w:rPr>
      </w:pPr>
      <w:r w:rsidRPr="00760F16">
        <w:rPr>
          <w:b/>
          <w:bCs/>
          <w:lang w:val="it-CH"/>
        </w:rPr>
        <w:t>De vuelta en Santa Cruz</w:t>
      </w:r>
    </w:p>
    <w:p w:rsidR="00760F16" w:rsidRPr="00760F16" w:rsidRDefault="00760F16" w:rsidP="00760F16">
      <w:pPr>
        <w:rPr>
          <w:lang w:val="it-CH"/>
        </w:rPr>
      </w:pPr>
      <w:r w:rsidRPr="00760F16">
        <w:rPr>
          <w:lang w:val="it-CH"/>
        </w:rPr>
        <w:t xml:space="preserve"> </w:t>
      </w:r>
    </w:p>
    <w:p w:rsidR="00760F16" w:rsidRPr="00760F16" w:rsidRDefault="00760F16" w:rsidP="00760F16">
      <w:pPr>
        <w:rPr>
          <w:lang w:val="it-CH"/>
        </w:rPr>
      </w:pPr>
      <w:r w:rsidRPr="00760F16">
        <w:rPr>
          <w:lang w:val="it-CH"/>
        </w:rPr>
        <w:t xml:space="preserve">He vuelto a Santa Cruz con mi familia por unas semanas; visitaré la </w:t>
      </w:r>
      <w:r>
        <w:rPr>
          <w:lang w:val="it-CH"/>
        </w:rPr>
        <w:t>F</w:t>
      </w:r>
      <w:r w:rsidRPr="00760F16">
        <w:rPr>
          <w:lang w:val="it-CH"/>
        </w:rPr>
        <w:t>undación varias veces e iré contando aquí cómo va todo.</w:t>
      </w:r>
    </w:p>
    <w:p w:rsidR="00760F16" w:rsidRPr="00760F16" w:rsidRDefault="00760F16" w:rsidP="00760F16">
      <w:pPr>
        <w:rPr>
          <w:lang w:val="it-CH"/>
        </w:rPr>
      </w:pPr>
      <w:r w:rsidRPr="00760F16">
        <w:rPr>
          <w:lang w:val="it-CH"/>
        </w:rPr>
        <w:t xml:space="preserve">Hoy he tenido la oportunidad de asistir a la reunión de los </w:t>
      </w:r>
      <w:r>
        <w:rPr>
          <w:lang w:val="it-CH"/>
        </w:rPr>
        <w:t>jefes</w:t>
      </w:r>
      <w:r w:rsidRPr="00760F16">
        <w:rPr>
          <w:lang w:val="it-CH"/>
        </w:rPr>
        <w:t xml:space="preserve"> de área. Así he podido obtener una magnífica visión general de las diferentes actividades de la </w:t>
      </w:r>
      <w:r>
        <w:rPr>
          <w:lang w:val="it-CH"/>
        </w:rPr>
        <w:t>F</w:t>
      </w:r>
      <w:r w:rsidRPr="00760F16">
        <w:rPr>
          <w:lang w:val="it-CH"/>
        </w:rPr>
        <w:t xml:space="preserve">undación. </w:t>
      </w:r>
      <w:r>
        <w:rPr>
          <w:lang w:val="it-CH"/>
        </w:rPr>
        <w:t xml:space="preserve">Con gusto la comparto </w:t>
      </w:r>
      <w:r w:rsidRPr="00760F16">
        <w:rPr>
          <w:lang w:val="it-CH"/>
        </w:rPr>
        <w:t>aquí.</w:t>
      </w:r>
    </w:p>
    <w:p w:rsidR="00760F16" w:rsidRPr="00760F16" w:rsidRDefault="00760F16" w:rsidP="00760F16">
      <w:pPr>
        <w:rPr>
          <w:lang w:val="it-CH"/>
        </w:rPr>
      </w:pPr>
      <w:r w:rsidRPr="00760F16">
        <w:rPr>
          <w:lang w:val="it-CH"/>
        </w:rPr>
        <w:t xml:space="preserve">La </w:t>
      </w:r>
      <w:r>
        <w:rPr>
          <w:lang w:val="it-CH"/>
        </w:rPr>
        <w:t>F</w:t>
      </w:r>
      <w:r w:rsidRPr="00760F16">
        <w:rPr>
          <w:lang w:val="it-CH"/>
        </w:rPr>
        <w:t xml:space="preserve">undación se divide en diferentes áreas de trabajo, entre otras: educación, trabajo social, arte, alimentación y salud. Cada tres meses, los responsables de área se reúnen para coordinar la </w:t>
      </w:r>
      <w:r>
        <w:rPr>
          <w:lang w:val="it-CH"/>
        </w:rPr>
        <w:t>colaboración</w:t>
      </w:r>
      <w:r w:rsidRPr="00760F16">
        <w:rPr>
          <w:lang w:val="it-CH"/>
        </w:rPr>
        <w:t xml:space="preserve"> interdisciplinaria y mantener informados a los compañeros de otras áreas sobre l</w:t>
      </w:r>
      <w:r>
        <w:rPr>
          <w:lang w:val="it-CH"/>
        </w:rPr>
        <w:t>o</w:t>
      </w:r>
      <w:r w:rsidRPr="00760F16">
        <w:rPr>
          <w:lang w:val="it-CH"/>
        </w:rPr>
        <w:t xml:space="preserve">s diferentes </w:t>
      </w:r>
      <w:r>
        <w:rPr>
          <w:lang w:val="it-CH"/>
        </w:rPr>
        <w:t>programas</w:t>
      </w:r>
      <w:r w:rsidRPr="00760F16">
        <w:rPr>
          <w:lang w:val="it-CH"/>
        </w:rPr>
        <w:t xml:space="preserve"> y proyectos.</w:t>
      </w:r>
    </w:p>
    <w:p w:rsidR="00760F16" w:rsidRPr="00760F16" w:rsidRDefault="00760F16" w:rsidP="00760F16">
      <w:pPr>
        <w:rPr>
          <w:lang w:val="it-CH"/>
        </w:rPr>
      </w:pPr>
      <w:r w:rsidRPr="00760F16">
        <w:rPr>
          <w:lang w:val="it-CH"/>
        </w:rPr>
        <w:t xml:space="preserve">Aquí </w:t>
      </w:r>
      <w:r>
        <w:rPr>
          <w:lang w:val="it-CH"/>
        </w:rPr>
        <w:t>les presento</w:t>
      </w:r>
      <w:r w:rsidRPr="00760F16">
        <w:rPr>
          <w:lang w:val="it-CH"/>
        </w:rPr>
        <w:t xml:space="preserve"> algunas cifras y datos actuales de esta reunión:</w:t>
      </w:r>
    </w:p>
    <w:p w:rsidR="00760F16" w:rsidRPr="00760F16" w:rsidRDefault="00760F16" w:rsidP="00082CD7">
      <w:pPr>
        <w:ind w:left="426" w:hanging="142"/>
        <w:rPr>
          <w:lang w:val="it-CH"/>
        </w:rPr>
      </w:pPr>
      <w:r w:rsidRPr="00760F16">
        <w:rPr>
          <w:lang w:val="it-CH"/>
        </w:rPr>
        <w:t xml:space="preserve">-       Actualmente, la </w:t>
      </w:r>
      <w:r>
        <w:rPr>
          <w:lang w:val="it-CH"/>
        </w:rPr>
        <w:t>F</w:t>
      </w:r>
      <w:r w:rsidRPr="00760F16">
        <w:rPr>
          <w:lang w:val="it-CH"/>
        </w:rPr>
        <w:t>undación presta apoyo a unas 600 familias.</w:t>
      </w:r>
    </w:p>
    <w:p w:rsidR="00760F16" w:rsidRPr="00760F16" w:rsidRDefault="00760F16" w:rsidP="00082CD7">
      <w:pPr>
        <w:ind w:left="426" w:hanging="142"/>
        <w:rPr>
          <w:lang w:val="it-CH"/>
        </w:rPr>
      </w:pPr>
      <w:r w:rsidRPr="00760F16">
        <w:rPr>
          <w:lang w:val="it-CH"/>
        </w:rPr>
        <w:t xml:space="preserve">-       Hay 846 apadrinamientos de </w:t>
      </w:r>
      <w:r>
        <w:rPr>
          <w:lang w:val="it-CH"/>
        </w:rPr>
        <w:t>educación</w:t>
      </w:r>
      <w:r w:rsidRPr="00760F16">
        <w:rPr>
          <w:lang w:val="it-CH"/>
        </w:rPr>
        <w:t>, de los cuales 130 corresponden a la educación superior (universidad, formación técnica).</w:t>
      </w:r>
    </w:p>
    <w:p w:rsidR="00760F16" w:rsidRPr="00760F16" w:rsidRDefault="00760F16" w:rsidP="00082CD7">
      <w:pPr>
        <w:ind w:left="426" w:hanging="142"/>
        <w:rPr>
          <w:lang w:val="it-CH"/>
        </w:rPr>
      </w:pPr>
      <w:r w:rsidRPr="00760F16">
        <w:rPr>
          <w:lang w:val="it-CH"/>
        </w:rPr>
        <w:t xml:space="preserve">-       A finales de 2025, 68 alumnos </w:t>
      </w:r>
      <w:r>
        <w:rPr>
          <w:lang w:val="it-CH"/>
        </w:rPr>
        <w:t>salieron bachiller</w:t>
      </w:r>
      <w:r w:rsidRPr="00760F16">
        <w:rPr>
          <w:lang w:val="it-CH"/>
        </w:rPr>
        <w:t xml:space="preserve">, 13 estudiantes </w:t>
      </w:r>
      <w:r>
        <w:rPr>
          <w:lang w:val="it-CH"/>
        </w:rPr>
        <w:t xml:space="preserve">obtuvieron </w:t>
      </w:r>
      <w:r w:rsidRPr="00760F16">
        <w:rPr>
          <w:lang w:val="it-CH"/>
        </w:rPr>
        <w:t>un título universitario y 16 estudiantes completa</w:t>
      </w:r>
      <w:r>
        <w:rPr>
          <w:lang w:val="it-CH"/>
        </w:rPr>
        <w:t>ron</w:t>
      </w:r>
      <w:r w:rsidRPr="00760F16">
        <w:rPr>
          <w:lang w:val="it-CH"/>
        </w:rPr>
        <w:t xml:space="preserve"> una formación técnica.</w:t>
      </w:r>
    </w:p>
    <w:p w:rsidR="00760F16" w:rsidRPr="00760F16" w:rsidRDefault="00760F16" w:rsidP="00082CD7">
      <w:pPr>
        <w:ind w:left="426" w:hanging="142"/>
        <w:rPr>
          <w:lang w:val="it-CH"/>
        </w:rPr>
      </w:pPr>
      <w:r w:rsidRPr="00760F16">
        <w:rPr>
          <w:lang w:val="it-CH"/>
        </w:rPr>
        <w:t xml:space="preserve">-       El área de Educación </w:t>
      </w:r>
      <w:r>
        <w:rPr>
          <w:lang w:val="it-CH"/>
        </w:rPr>
        <w:t>hace seguimiento al</w:t>
      </w:r>
      <w:r w:rsidRPr="00760F16">
        <w:rPr>
          <w:lang w:val="it-CH"/>
        </w:rPr>
        <w:t xml:space="preserve"> desarrollo escolar de todos los alumnos apadrinados y les brinda apoyo según sus necesidades mediante clases de refuerzo y terapia de aprendizaje. El equipo de Educación realiza esta labor de forma complementaria a la escuela regular a la que asisten los niños fuera de la Fundación.</w:t>
      </w:r>
    </w:p>
    <w:p w:rsidR="00760F16" w:rsidRPr="00760F16" w:rsidRDefault="00760F16" w:rsidP="00082CD7">
      <w:pPr>
        <w:ind w:left="426" w:hanging="142"/>
        <w:rPr>
          <w:lang w:val="it-CH"/>
        </w:rPr>
      </w:pPr>
      <w:r w:rsidRPr="00760F16">
        <w:rPr>
          <w:lang w:val="it-CH"/>
        </w:rPr>
        <w:t xml:space="preserve">-       Alrededor de </w:t>
      </w:r>
      <w:r w:rsidR="00082CD7">
        <w:rPr>
          <w:lang w:val="it-CH"/>
        </w:rPr>
        <w:t>210</w:t>
      </w:r>
      <w:r w:rsidRPr="00760F16">
        <w:rPr>
          <w:lang w:val="it-CH"/>
        </w:rPr>
        <w:t xml:space="preserve"> niños y jóvenes asisten a los cursos de arte (clases de instrumentos, coro, orquesta, pintura, entre otros), lo que </w:t>
      </w:r>
      <w:r>
        <w:rPr>
          <w:lang w:val="it-CH"/>
        </w:rPr>
        <w:t>representa</w:t>
      </w:r>
      <w:r w:rsidRPr="00760F16">
        <w:rPr>
          <w:lang w:val="it-CH"/>
        </w:rPr>
        <w:t xml:space="preserve"> una forma positiva de ocio para muchos de ellos que provienen de entornos familiares difíciles, y fomenta su desarrollo personal.</w:t>
      </w:r>
    </w:p>
    <w:p w:rsidR="00760F16" w:rsidRPr="00760F16" w:rsidRDefault="00760F16" w:rsidP="00082CD7">
      <w:pPr>
        <w:ind w:left="426" w:hanging="142"/>
        <w:rPr>
          <w:lang w:val="it-CH"/>
        </w:rPr>
      </w:pPr>
      <w:r w:rsidRPr="00760F16">
        <w:rPr>
          <w:lang w:val="it-CH"/>
        </w:rPr>
        <w:t xml:space="preserve">- Actualmente hay 3 comedores en funcionamiento, en los que </w:t>
      </w:r>
      <w:r w:rsidR="00082CD7">
        <w:rPr>
          <w:lang w:val="it-CH"/>
        </w:rPr>
        <w:t>cerca de 500</w:t>
      </w:r>
      <w:r w:rsidRPr="00760F16">
        <w:rPr>
          <w:lang w:val="it-CH"/>
        </w:rPr>
        <w:t xml:space="preserve"> niños reciben su almuerzo de lunes a viernes. De ellos, 380 niños cuentan con un apadrinamiento </w:t>
      </w:r>
      <w:r>
        <w:rPr>
          <w:lang w:val="it-CH"/>
        </w:rPr>
        <w:t>de alimentación</w:t>
      </w:r>
      <w:r w:rsidRPr="00760F16">
        <w:rPr>
          <w:lang w:val="it-CH"/>
        </w:rPr>
        <w:t>.</w:t>
      </w:r>
    </w:p>
    <w:p w:rsidR="00760F16" w:rsidRPr="00760F16" w:rsidRDefault="00760F16" w:rsidP="00082CD7">
      <w:pPr>
        <w:ind w:left="426" w:hanging="142"/>
        <w:rPr>
          <w:lang w:val="it-CH"/>
        </w:rPr>
      </w:pPr>
      <w:r w:rsidRPr="00760F16">
        <w:rPr>
          <w:lang w:val="it-CH"/>
        </w:rPr>
        <w:t xml:space="preserve">- Se están llevando a cabo diversos programas de salud, en particular para garantizar que los niños de la </w:t>
      </w:r>
      <w:r>
        <w:rPr>
          <w:lang w:val="it-CH"/>
        </w:rPr>
        <w:t>F</w:t>
      </w:r>
      <w:r w:rsidRPr="00760F16">
        <w:rPr>
          <w:lang w:val="it-CH"/>
        </w:rPr>
        <w:t>undación se desarrollen de forma saludable.</w:t>
      </w:r>
    </w:p>
    <w:p w:rsidR="00760F16" w:rsidRPr="00760F16" w:rsidRDefault="00760F16" w:rsidP="00082CD7">
      <w:pPr>
        <w:ind w:left="426" w:hanging="142"/>
        <w:rPr>
          <w:lang w:val="it-CH"/>
        </w:rPr>
      </w:pPr>
      <w:r w:rsidRPr="00760F16">
        <w:rPr>
          <w:lang w:val="it-CH"/>
        </w:rPr>
        <w:t xml:space="preserve">- En 2026, la </w:t>
      </w:r>
      <w:r>
        <w:rPr>
          <w:lang w:val="it-CH"/>
        </w:rPr>
        <w:t>F</w:t>
      </w:r>
      <w:r w:rsidRPr="00760F16">
        <w:rPr>
          <w:lang w:val="it-CH"/>
        </w:rPr>
        <w:t xml:space="preserve">undación prestará apoyo a 25 familias nuevas. Han completado el </w:t>
      </w:r>
      <w:r>
        <w:rPr>
          <w:lang w:val="it-CH"/>
        </w:rPr>
        <w:t>complejo</w:t>
      </w:r>
      <w:r w:rsidRPr="00760F16">
        <w:rPr>
          <w:lang w:val="it-CH"/>
        </w:rPr>
        <w:t xml:space="preserve"> proceso de inscripción</w:t>
      </w:r>
      <w:r>
        <w:rPr>
          <w:lang w:val="it-CH"/>
        </w:rPr>
        <w:t xml:space="preserve"> </w:t>
      </w:r>
      <w:r w:rsidRPr="00760F16">
        <w:rPr>
          <w:lang w:val="it-CH"/>
        </w:rPr>
        <w:t xml:space="preserve">y se han comprometido a participar activamente, junto con sus familias, en las actividades de apoyo a los niños. Para la </w:t>
      </w:r>
      <w:r>
        <w:rPr>
          <w:lang w:val="it-CH"/>
        </w:rPr>
        <w:t>F</w:t>
      </w:r>
      <w:r w:rsidRPr="00760F16">
        <w:rPr>
          <w:lang w:val="it-CH"/>
        </w:rPr>
        <w:t xml:space="preserve">undación es muy importante </w:t>
      </w:r>
      <w:r w:rsidRPr="00760F16">
        <w:rPr>
          <w:lang w:val="it-CH"/>
        </w:rPr>
        <w:lastRenderedPageBreak/>
        <w:t xml:space="preserve">que las familias no solo reciban pasivamente el apoyo de la </w:t>
      </w:r>
      <w:r>
        <w:rPr>
          <w:lang w:val="it-CH"/>
        </w:rPr>
        <w:t>F</w:t>
      </w:r>
      <w:r w:rsidRPr="00760F16">
        <w:rPr>
          <w:lang w:val="it-CH"/>
        </w:rPr>
        <w:t>undación, sino que participen activamente en los diversos programas de apoyo de enfoque integral, con el objetivo de que toda la familia pueda seguir desarrollándose y de que este desarrollo tenga un efecto positivo en su futuro.</w:t>
      </w:r>
    </w:p>
    <w:p w:rsidR="00760F16" w:rsidRPr="00760F16" w:rsidRDefault="00760F16" w:rsidP="00760F16">
      <w:pPr>
        <w:rPr>
          <w:lang w:val="it-CH"/>
        </w:rPr>
      </w:pPr>
    </w:p>
    <w:p w:rsidR="00760F16" w:rsidRPr="00760F16" w:rsidRDefault="00760F16" w:rsidP="00760F16">
      <w:pPr>
        <w:rPr>
          <w:lang w:val="it-CH"/>
        </w:rPr>
      </w:pPr>
      <w:r w:rsidRPr="00760F16">
        <w:rPr>
          <w:lang w:val="it-CH"/>
        </w:rPr>
        <w:t xml:space="preserve">No deja de impresionarme la sólida colaboración interdisciplinaria que caracteriza a la </w:t>
      </w:r>
      <w:r>
        <w:rPr>
          <w:lang w:val="it-CH"/>
        </w:rPr>
        <w:t>F</w:t>
      </w:r>
      <w:r w:rsidRPr="00760F16">
        <w:rPr>
          <w:lang w:val="it-CH"/>
        </w:rPr>
        <w:t xml:space="preserve">undación. Un ejemplo: el equipo de educación detecta que un joven corre el riesgo de tener que repetir </w:t>
      </w:r>
      <w:r>
        <w:rPr>
          <w:lang w:val="it-CH"/>
        </w:rPr>
        <w:t>el año escolar</w:t>
      </w:r>
      <w:r w:rsidRPr="00760F16">
        <w:rPr>
          <w:lang w:val="it-CH"/>
        </w:rPr>
        <w:t>. Informa a los trabajadores sociales para que estos puedan averiguar, junto con la familia del joven, las causas de su bajo rendimiento escolar. Junto con el equipo de Educación y, cuando es necesario, con las psicólogas, se elaboran medidas de apoyo que se ponen en práctica con el joven, contando con la participación de sus padres.</w:t>
      </w:r>
    </w:p>
    <w:p w:rsidR="00760F16" w:rsidRPr="00760F16" w:rsidRDefault="00760F16" w:rsidP="00760F16">
      <w:pPr>
        <w:rPr>
          <w:lang w:val="it-CH"/>
        </w:rPr>
      </w:pPr>
      <w:r w:rsidRPr="00760F16">
        <w:rPr>
          <w:lang w:val="it-CH"/>
        </w:rPr>
        <w:t xml:space="preserve"> </w:t>
      </w:r>
    </w:p>
    <w:p w:rsidR="00760F16" w:rsidRPr="00760F16" w:rsidRDefault="00760F16" w:rsidP="00760F16">
      <w:pPr>
        <w:rPr>
          <w:lang w:val="it-CH"/>
        </w:rPr>
      </w:pPr>
      <w:r w:rsidRPr="00760F16">
        <w:rPr>
          <w:lang w:val="it-CH"/>
        </w:rPr>
        <w:t xml:space="preserve">En este sentido, me gustaría señalar también que las estadísticas internas de la </w:t>
      </w:r>
      <w:r>
        <w:rPr>
          <w:lang w:val="it-CH"/>
        </w:rPr>
        <w:t>F</w:t>
      </w:r>
      <w:r w:rsidRPr="00760F16">
        <w:rPr>
          <w:lang w:val="it-CH"/>
        </w:rPr>
        <w:t xml:space="preserve">undación muestran claramente que el número de repeticiones de curso ha disminuido considerablemente desde </w:t>
      </w:r>
      <w:r>
        <w:rPr>
          <w:lang w:val="it-CH"/>
        </w:rPr>
        <w:t xml:space="preserve">el año </w:t>
      </w:r>
      <w:r w:rsidRPr="00760F16">
        <w:rPr>
          <w:lang w:val="it-CH"/>
        </w:rPr>
        <w:t>2012 (de casi 100 a unas 40 al año).</w:t>
      </w:r>
    </w:p>
    <w:p w:rsidR="00760F16" w:rsidRPr="00760F16" w:rsidRDefault="00760F16" w:rsidP="00760F16">
      <w:pPr>
        <w:rPr>
          <w:lang w:val="it-CH"/>
        </w:rPr>
      </w:pPr>
      <w:r w:rsidRPr="00760F16">
        <w:rPr>
          <w:lang w:val="it-CH"/>
        </w:rPr>
        <w:t xml:space="preserve"> </w:t>
      </w:r>
    </w:p>
    <w:p w:rsidR="00760F16" w:rsidRPr="00760F16" w:rsidRDefault="00760F16" w:rsidP="00760F16">
      <w:pPr>
        <w:rPr>
          <w:lang w:val="it-CH"/>
        </w:rPr>
      </w:pPr>
      <w:r w:rsidRPr="00760F16">
        <w:rPr>
          <w:lang w:val="it-CH"/>
        </w:rPr>
        <w:t xml:space="preserve">La </w:t>
      </w:r>
      <w:r>
        <w:rPr>
          <w:lang w:val="it-CH"/>
        </w:rPr>
        <w:t>F</w:t>
      </w:r>
      <w:r w:rsidRPr="00760F16">
        <w:rPr>
          <w:lang w:val="it-CH"/>
        </w:rPr>
        <w:t xml:space="preserve">undación se encuentra desde hace algún tiempo en un proceso de reestructuración para coordinar y armonizar los servicios de apoyo de forma aún más eficiente. Me alegra ver que los programas siguen funcionando con estabilidad, que el personal sigue motivado y trabajando con buena cohesión (bajo el lema «¡Somos una gran familia Niño Feliz!») y, sobre todo, que sigue fiel a la </w:t>
      </w:r>
      <w:r>
        <w:rPr>
          <w:lang w:val="it-CH"/>
        </w:rPr>
        <w:t>F</w:t>
      </w:r>
      <w:r w:rsidRPr="00760F16">
        <w:rPr>
          <w:lang w:val="it-CH"/>
        </w:rPr>
        <w:t xml:space="preserve">undación. Desde mi última visita hace tres años, apenas se han producido cambios en </w:t>
      </w:r>
      <w:r>
        <w:rPr>
          <w:lang w:val="it-CH"/>
        </w:rPr>
        <w:t>el personal</w:t>
      </w:r>
      <w:r w:rsidRPr="00760F16">
        <w:rPr>
          <w:lang w:val="it-CH"/>
        </w:rPr>
        <w:t>.</w:t>
      </w:r>
    </w:p>
    <w:p w:rsidR="00760F16" w:rsidRPr="00760F16" w:rsidRDefault="00760F16" w:rsidP="00760F16">
      <w:pPr>
        <w:rPr>
          <w:lang w:val="it-CH"/>
        </w:rPr>
      </w:pPr>
      <w:r w:rsidRPr="00760F16">
        <w:rPr>
          <w:lang w:val="it-CH"/>
        </w:rPr>
        <w:t xml:space="preserve"> </w:t>
      </w:r>
    </w:p>
    <w:p w:rsidR="00760F16" w:rsidRPr="00760F16" w:rsidRDefault="00760F16" w:rsidP="00760F16">
      <w:pPr>
        <w:rPr>
          <w:lang w:val="it-CH"/>
        </w:rPr>
      </w:pPr>
      <w:r w:rsidRPr="00760F16">
        <w:rPr>
          <w:lang w:val="it-CH"/>
        </w:rPr>
        <w:t>Espero con ilusión los próximos encuentros de los próximos días.</w:t>
      </w:r>
    </w:p>
    <w:p w:rsidR="00760F16" w:rsidRPr="00760F16" w:rsidRDefault="00760F16" w:rsidP="00760F16">
      <w:pPr>
        <w:rPr>
          <w:lang w:val="it-CH"/>
        </w:rPr>
      </w:pPr>
      <w:r w:rsidRPr="00760F16">
        <w:rPr>
          <w:lang w:val="it-CH"/>
        </w:rPr>
        <w:t xml:space="preserve"> </w:t>
      </w:r>
    </w:p>
    <w:p w:rsidR="00760F16" w:rsidRPr="00760F16" w:rsidRDefault="00760F16" w:rsidP="00760F16">
      <w:pPr>
        <w:rPr>
          <w:lang w:val="it-CH"/>
        </w:rPr>
      </w:pPr>
      <w:r w:rsidRPr="00760F16">
        <w:rPr>
          <w:lang w:val="it-CH"/>
        </w:rPr>
        <w:t>Santa Cruz, 25 de marzo de 2026, Kathrin Büschi</w:t>
      </w:r>
    </w:p>
    <w:p w:rsidR="00760F16" w:rsidRPr="00760F16" w:rsidRDefault="00760F16" w:rsidP="00760F16">
      <w:pPr>
        <w:rPr>
          <w:lang w:val="it-CH"/>
        </w:rPr>
      </w:pPr>
    </w:p>
    <w:p w:rsidR="00760F16" w:rsidRPr="00760F16" w:rsidRDefault="00760F16" w:rsidP="00760F16">
      <w:pPr>
        <w:rPr>
          <w:lang w:val="it-CH"/>
        </w:rPr>
      </w:pPr>
    </w:p>
    <w:sectPr w:rsidR="00760F16" w:rsidRPr="00760F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56D35"/>
    <w:multiLevelType w:val="hybridMultilevel"/>
    <w:tmpl w:val="3AD8FA7C"/>
    <w:lvl w:ilvl="0" w:tplc="361C20E4">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710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16"/>
    <w:rsid w:val="00052A97"/>
    <w:rsid w:val="00082CD7"/>
    <w:rsid w:val="003B5B05"/>
    <w:rsid w:val="00760F16"/>
    <w:rsid w:val="00A377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B4B4AFF"/>
  <w15:chartTrackingRefBased/>
  <w15:docId w15:val="{D272219C-8C5E-BE42-89D4-08AF95B8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0F16"/>
  </w:style>
  <w:style w:type="paragraph" w:styleId="berschrift1">
    <w:name w:val="heading 1"/>
    <w:basedOn w:val="Standard"/>
    <w:next w:val="Standard"/>
    <w:link w:val="berschrift1Zchn"/>
    <w:uiPriority w:val="9"/>
    <w:qFormat/>
    <w:rsid w:val="00760F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60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60F1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60F1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60F1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60F1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0F1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0F1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0F1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0F1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60F1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60F1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60F1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60F1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60F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0F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0F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0F16"/>
    <w:rPr>
      <w:rFonts w:eastAsiaTheme="majorEastAsia" w:cstheme="majorBidi"/>
      <w:color w:val="272727" w:themeColor="text1" w:themeTint="D8"/>
    </w:rPr>
  </w:style>
  <w:style w:type="paragraph" w:styleId="Titel">
    <w:name w:val="Title"/>
    <w:basedOn w:val="Standard"/>
    <w:next w:val="Standard"/>
    <w:link w:val="TitelZchn"/>
    <w:uiPriority w:val="10"/>
    <w:qFormat/>
    <w:rsid w:val="00760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0F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0F1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0F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0F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0F16"/>
    <w:rPr>
      <w:i/>
      <w:iCs/>
      <w:color w:val="404040" w:themeColor="text1" w:themeTint="BF"/>
    </w:rPr>
  </w:style>
  <w:style w:type="paragraph" w:styleId="Listenabsatz">
    <w:name w:val="List Paragraph"/>
    <w:basedOn w:val="Standard"/>
    <w:uiPriority w:val="34"/>
    <w:qFormat/>
    <w:rsid w:val="00760F16"/>
    <w:pPr>
      <w:ind w:left="720"/>
      <w:contextualSpacing/>
    </w:pPr>
  </w:style>
  <w:style w:type="character" w:styleId="IntensiveHervorhebung">
    <w:name w:val="Intense Emphasis"/>
    <w:basedOn w:val="Absatz-Standardschriftart"/>
    <w:uiPriority w:val="21"/>
    <w:qFormat/>
    <w:rsid w:val="00760F16"/>
    <w:rPr>
      <w:i/>
      <w:iCs/>
      <w:color w:val="2F5496" w:themeColor="accent1" w:themeShade="BF"/>
    </w:rPr>
  </w:style>
  <w:style w:type="paragraph" w:styleId="IntensivesZitat">
    <w:name w:val="Intense Quote"/>
    <w:basedOn w:val="Standard"/>
    <w:next w:val="Standard"/>
    <w:link w:val="IntensivesZitatZchn"/>
    <w:uiPriority w:val="30"/>
    <w:qFormat/>
    <w:rsid w:val="00760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60F16"/>
    <w:rPr>
      <w:i/>
      <w:iCs/>
      <w:color w:val="2F5496" w:themeColor="accent1" w:themeShade="BF"/>
    </w:rPr>
  </w:style>
  <w:style w:type="character" w:styleId="IntensiverVerweis">
    <w:name w:val="Intense Reference"/>
    <w:basedOn w:val="Absatz-Standardschriftart"/>
    <w:uiPriority w:val="32"/>
    <w:qFormat/>
    <w:rsid w:val="00760F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3451</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Büschi</dc:creator>
  <cp:keywords/>
  <dc:description/>
  <cp:lastModifiedBy>Kathrin Büschi</cp:lastModifiedBy>
  <cp:revision>4</cp:revision>
  <dcterms:created xsi:type="dcterms:W3CDTF">2026-03-25T20:03:00Z</dcterms:created>
  <dcterms:modified xsi:type="dcterms:W3CDTF">2026-03-26T01:42:00Z</dcterms:modified>
</cp:coreProperties>
</file>